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If you aren’t using all the channels of your RME interface, the TotalMix window can be customized to hide any unused channels. Click on the Options menu and select “Channel Layout”. There are 3 panels here, one for Inputs - the top row of the mixer, Playback channels - the middle row of the mixer, and Output channels - the bottom row.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want to hide a channel from view, just click the channel, then select the Hide in Mixer Matrix check box. You can select multiple channels at one time the usual way, using shift plus click for items in a series, or control plus click (command click on Mac) to add single channels to the selection. If needed, you can also hide the channels only from MIDI controller or OSC remotes. Once you are done, click OK and the selected channels are removed from the Mixer.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 the right side panel again, you can save your layout as a preset, so it can be recalled any time. In addition to the Preset slots, there are two buttons above. All will show all channels, and Sub will show only the channels routed to the currently selected submix.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some cases, your screen resolution may be larger or smaller than optimal for TotalMix. You can set the mixer to 2 row mode using the button on the right side, which moves the software playback row to the top. You can also collapse channels to meters only by clicking on the small arrow on the bottom right. Here you can also hold Control or Command while you click, and this will collapse all channels to the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are using a high resolution display, it may be beneficial to increase the size of the mixer. You can find the zoom options under the Window menu.</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